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left"/>
        <w:tblLayout w:type="fixed"/>
        <w:tblLook w:firstColumn="1" w:firstRow="1" w:lastColumn="0" w:lastRow="0" w:noHBand="0" w:noVBand="1" w:val="04A0"/>
        <w:tblInd w:type="dxa" w:w="120"/>
      </w:tblPr>
      <w:tblGrid>
        <w:gridCol w:w="9360"/>
      </w:tblGrid>
      <w:tr>
        <w:trPr>
          <w:tblHeader w:val="true"/>
        </w:trPr>
        <w:tc>
          <w:tcPr>
            <w:tcW w:type="dxa" w:w="9360"/>
            <w:tcMar>
              <w:top w:w="80" w:type="dxa"/>
              <w:bottom w:w="80" w:type="dxa"/>
              <w:start w:w="120" w:type="dxa"/>
              <w:end w:w="120" w:type="dxa"/>
            </w:tcMar>
            <w:shd w:fill="1F4D78"/>
            <w:tcBorders>
              <w:top w:val="single" w:sz="2" w:color="1F4D78"/>
              <w:left w:val="single" w:sz="2" w:color="1F4D78"/>
              <w:bottom w:val="single" w:sz="2" w:color="1F4D78"/>
              <w:right w:val="single" w:sz="2" w:color="1F4D78"/>
              <w:insideH w:val="single" w:sz="2" w:color="1F4D78"/>
              <w:insideV w:val="single" w:sz="2" w:color="1F4D78"/>
            </w:tcBorders>
            <w:vAlign w:val="center"/>
          </w:tcPr>
          <w:p>
            <w:pPr>
              <w:spacing w:after="0"/>
            </w:pPr>
            <w:r>
              <w:rPr>
                <w:rFonts w:ascii="Calibri" w:hAnsi="Calibri"/>
                <w:b/>
                <w:color w:val="FFFFFF"/>
                <w:sz w:val="36"/>
              </w:rPr>
              <w:t>Cedar Glen Community Association</w:t>
            </w:r>
          </w:p>
        </w:tc>
      </w:tr>
      <w:tr>
        <w:trPr/>
        <w:tc>
          <w:tcPr>
            <w:tcW w:type="dxa" w:w="9360"/>
            <w:tcMar>
              <w:top w:w="80" w:type="dxa"/>
              <w:bottom w:w="80" w:type="dxa"/>
              <w:start w:w="120" w:type="dxa"/>
              <w:end w:w="120" w:type="dxa"/>
            </w:tcMar>
            <w:shd w:fill="1F4D78"/>
            <w:tcBorders>
              <w:top w:val="single" w:sz="2" w:color="1F4D78"/>
              <w:left w:val="single" w:sz="2" w:color="1F4D78"/>
              <w:bottom w:val="single" w:sz="2" w:color="1F4D78"/>
              <w:right w:val="single" w:sz="2" w:color="1F4D78"/>
              <w:insideH w:val="single" w:sz="2" w:color="1F4D78"/>
              <w:insideV w:val="single" w:sz="2" w:color="1F4D78"/>
            </w:tcBorders>
            <w:vAlign w:val="center"/>
          </w:tcPr>
          <w:p>
            <w:pPr>
              <w:spacing w:after="0"/>
            </w:pPr>
            <w:r>
              <w:rPr>
                <w:rFonts w:ascii="Calibri" w:hAnsi="Calibri"/>
                <w:b/>
                <w:color w:val="FFFFFF"/>
                <w:sz w:val="26"/>
              </w:rPr>
              <w:t>Regular Board Meeting — Draft Minutes</w:t>
            </w:r>
          </w:p>
        </w:tc>
      </w:tr>
      <w:tr>
        <w:trPr/>
        <w:tc>
          <w:tcPr>
            <w:tcW w:type="dxa" w:w="9360"/>
            <w:tcMar>
              <w:top w:w="80" w:type="dxa"/>
              <w:bottom w:w="80" w:type="dxa"/>
              <w:start w:w="120" w:type="dxa"/>
              <w:end w:w="120" w:type="dxa"/>
            </w:tcMar>
            <w:shd w:fill="1F4D78"/>
            <w:tcBorders>
              <w:top w:val="single" w:sz="2" w:color="1F4D78"/>
              <w:left w:val="single" w:sz="2" w:color="1F4D78"/>
              <w:bottom w:val="single" w:sz="2" w:color="1F4D78"/>
              <w:right w:val="single" w:sz="2" w:color="1F4D78"/>
              <w:insideH w:val="single" w:sz="2" w:color="1F4D78"/>
              <w:insideV w:val="single" w:sz="2" w:color="1F4D78"/>
            </w:tcBorders>
            <w:vAlign w:val="center"/>
          </w:tcPr>
          <w:p>
            <w:pPr>
              <w:spacing w:after="0"/>
            </w:pPr>
            <w:r>
              <w:rPr>
                <w:rFonts w:ascii="Calibri" w:hAnsi="Calibri"/>
                <w:color w:val="DCEAF3"/>
                <w:sz w:val="20"/>
              </w:rPr>
              <w:t>July 15, 2026 · 7:02 p.m.–8:14 p.m. · Not stated in the recording</w:t>
            </w:r>
          </w:p>
        </w:tc>
      </w:tr>
    </w:tbl>
    <w:p/>
    <w:tbl>
      <w:tblPr>
        <w:tblW w:type="dxa" w:w="9360"/>
        <w:jc w:val="left"/>
        <w:tblLayout w:type="fixed"/>
        <w:tblLook w:firstColumn="1" w:firstRow="1" w:lastColumn="0" w:lastRow="0" w:noHBand="0" w:noVBand="1" w:val="04A0"/>
        <w:tblInd w:type="dxa" w:w="120"/>
      </w:tblPr>
      <w:tblGrid>
        <w:gridCol w:w="9360"/>
      </w:tblGrid>
      <w:tr>
        <w:trPr>
          <w:tblHeader w:val="true"/>
        </w:trPr>
        <w:tc>
          <w:tcPr>
            <w:tcW w:type="dxa" w:w="9360"/>
            <w:tcMar>
              <w:top w:w="80" w:type="dxa"/>
              <w:bottom w:w="80" w:type="dxa"/>
              <w:start w:w="120" w:type="dxa"/>
              <w:end w:w="120" w:type="dxa"/>
            </w:tcMar>
            <w:shd w:fill="EAF2F8"/>
            <w:tcBorders>
              <w:top w:val="single" w:sz="6" w:color="9BBFD8"/>
              <w:left w:val="single" w:sz="6" w:color="9BBFD8"/>
              <w:bottom w:val="single" w:sz="6" w:color="9BBFD8"/>
              <w:right w:val="single" w:sz="6" w:color="9BBFD8"/>
              <w:insideH w:val="single" w:sz="6" w:color="9BBFD8"/>
              <w:insideV w:val="single" w:sz="6" w:color="9BBFD8"/>
            </w:tcBorders>
          </w:tcPr>
          <w:p>
            <w:pPr>
              <w:spacing w:after="0"/>
            </w:pPr>
            <w:r>
              <w:rPr>
                <w:b/>
                <w:color w:val="1F4D78"/>
              </w:rPr>
              <w:t xml:space="preserve">SYNTHETIC DEMONSTRATION. </w:t>
            </w:r>
            <w:r>
              <w:rPr>
                <w:color w:val="24303A"/>
              </w:rPr>
              <w:t>Every association, person, property, contract, and event in this demonstration is generated and fictional.</w:t>
            </w:r>
          </w:p>
        </w:tc>
      </w:tr>
    </w:tbl>
    <w:p>
      <w:pPr>
        <w:pStyle w:val="Heading1"/>
      </w:pPr>
      <w:r>
        <w:t>Attendance and call to order</w:t>
      </w:r>
    </w:p>
    <w:p>
      <w:pPr>
        <w:widowControl/>
      </w:pPr>
      <w:r>
        <w:t>Chair Elena Park called the meeting to order at 7:02 p.m. Directors present: Elena Park, Chair, Michael Torres, Vice Chair, Priya Shah, Treasurer, Daniel Reed, Secretary, Louise Benton, Director. Management present: Jordan Lee, Community Manager. All five directors were present; a quorum was established. The Board followed the distributed agenda without changes.</w:t>
      </w:r>
    </w:p>
    <w:p>
      <w:pPr>
        <w:pStyle w:val="Heading2"/>
      </w:pPr>
      <w:r>
        <w:t>Approval of prior minutes</w:t>
      </w:r>
    </w:p>
    <w:p>
      <w:pPr>
        <w:widowControl/>
      </w:pPr>
      <w:r>
        <w:t>The Board approved the June 10, 2026 regular board meeting minutes as distributed.</w:t>
      </w:r>
    </w:p>
    <w:p>
      <w:pPr>
        <w:pStyle w:val="Heading2"/>
      </w:pPr>
      <w:r>
        <w:t>Management and status reports</w:t>
      </w:r>
    </w:p>
    <w:p>
      <w:pPr>
        <w:widowControl/>
      </w:pPr>
      <w:r>
        <w:t>Management reported eight open maintenance requests at the end of the comparison period. Delinquency information was discussed only in aggregate; no owner names, account details, or collection matters were discussed in the open session.</w:t>
      </w:r>
    </w:p>
    <w:p>
      <w:pPr>
        <w:widowControl/>
      </w:pPr>
      <w:r>
        <w:t>The North Common Area irrigation leak was repaired June 19. Water use fell in the following billing period, but a full month of comparison data was not yet available. Two failed mailbox-light fixtures were replaced, and a timer adjustment was recommended for autumn.</w:t>
      </w:r>
    </w:p>
    <w:p>
      <w:pPr>
        <w:widowControl/>
      </w:pPr>
      <w:r>
        <w:t>The insurance-renewal proposal remained pending; the current policy runs through October 31. Three architectural applications had been received: two were approved under delegated authority and one remained incomplete pending a color sample.</w:t>
      </w:r>
    </w:p>
    <w:p>
      <w:pPr>
        <w:widowControl/>
      </w:pPr>
      <w:r>
        <w:t>The June financial summary and approved May minutes had been posted. The June 10 minutes remained a draft until the approval recorded above was incorporated. Management had completed two summer common-area walks and retained the photographs in the association file.</w:t>
      </w:r>
    </w:p>
    <w:p>
      <w:pPr>
        <w:pStyle w:val="Heading2"/>
      </w:pPr>
      <w:r>
        <w:t>Landscaping contract</w:t>
      </w:r>
    </w:p>
    <w:p>
      <w:pPr>
        <w:widowControl/>
      </w:pPr>
      <w:r>
        <w:t>The Board reviewed three proposals and discussed scope consistency, response time, insurance evidence, irrigation responsibility, references, termination language, budget alignment, quality measurement, resident communication, and transition timing.</w:t>
      </w:r>
    </w:p>
    <w:p>
      <w:pPr>
        <w:widowControl/>
      </w:pPr>
      <w:r>
        <w:t>The Board selected Greenfield Landscape for a 12-month common-area landscaping contract at an amount not to exceed $18,500, subject to receipt of a current certificate of insurance and manager review confirming that the final agreement matches the proposal in the board packet.</w:t>
      </w:r>
    </w:p>
    <w:p>
      <w:pPr>
        <w:pStyle w:val="Heading2"/>
      </w:pPr>
      <w:r>
        <w:t>Reserve contribution</w:t>
      </w:r>
    </w:p>
    <w:p>
      <w:pPr>
        <w:widowControl/>
      </w:pPr>
      <w:r>
        <w:t>The updated worksheet projected that the reserve balance would fall below the study target in 2029 at the current contribution. The Board discussed timing, owner impact, funding alternatives, segregation of funds, notice language, and vote clarity.</w:t>
      </w:r>
    </w:p>
    <w:p>
      <w:pPr>
        <w:widowControl/>
      </w:pPr>
      <w:r>
        <w:t>The Board increased the monthly reserve contribution by $10 per unit effective January 1, 2027. The added amount is to be deposited in the association reserve account and reviewed during preparation of the 2028 budget.</w:t>
      </w:r>
    </w:p>
    <w:p>
      <w:pPr>
        <w:pStyle w:val="Heading2"/>
      </w:pPr>
      <w:r>
        <w:t>Emergency gate motor replacement</w:t>
      </w:r>
    </w:p>
    <w:p>
      <w:pPr>
        <w:widowControl/>
      </w:pPr>
      <w:r>
        <w:t>The Board reviewed the June 27 emergency replacement of the failed entry-gate motor by Access Gate Services. The reported cost was $4,850, with a two-year parts warranty and a one-year labor warranty. The Board ratified the expenditure.</w:t>
      </w:r>
    </w:p>
    <w:p>
      <w:pPr>
        <w:pStyle w:val="Heading2"/>
      </w:pPr>
      <w:r>
        <w:t>Pool-hours request</w:t>
      </w:r>
    </w:p>
    <w:p>
      <w:pPr>
        <w:widowControl/>
      </w:pPr>
      <w:r>
        <w:t>The Board considered a request to extend Friday and Saturday pool hours from 9:00 p.m. to 10:00 p.m. through Labor Day. Discussion covered noise, staffing, rules enforcement, insurance, trial design, owner notice, season timing, and future review.</w:t>
      </w:r>
    </w:p>
    <w:p>
      <w:pPr>
        <w:widowControl/>
      </w:pPr>
      <w:r>
        <w:t>The Board tabled the request pending a written response from the association's insurance broker and a proposed two-week trial notice for board review. No extended hours were approved.</w:t>
      </w:r>
    </w:p>
    <w:p>
      <w:pPr>
        <w:pStyle w:val="Heading2"/>
      </w:pPr>
      <w:r>
        <w:t>Homeowner forum</w:t>
      </w:r>
    </w:p>
    <w:p>
      <w:pPr>
        <w:widowControl/>
      </w:pPr>
      <w:r>
        <w:t>Homeowner comments addressed west-mailbox paint repair, appreciation for landscape volunteers, a plain-language reserve-workbook explanation, a delivery vehicle blocking the south fire lane, inclusion of pool-hours correspondence in the next packet, and advance notice of irrigation-water shutoffs. The Board took no action during the forum.</w:t>
      </w:r>
    </w:p>
    <w:p>
      <w:pPr>
        <w:pStyle w:val="Heading2"/>
      </w:pPr>
      <w:r>
        <w:t>Next meeting</w:t>
      </w:r>
    </w:p>
    <w:p>
      <w:pPr>
        <w:widowControl/>
      </w:pPr>
      <w:r>
        <w:t>The next regular board meeting was scheduled for August 19, 2026 at 6:30 p.m. in the community room, with remote-access information to be included in the notice.</w:t>
      </w:r>
    </w:p>
    <w:p>
      <w:pPr>
        <w:pStyle w:val="Heading2"/>
      </w:pPr>
      <w:r>
        <w:t>Adjournment</w:t>
      </w:r>
    </w:p>
    <w:p>
      <w:pPr>
        <w:widowControl/>
      </w:pPr>
      <w:r>
        <w:t>The Board approved a motion to adjourn, 5-0. The meeting adjourned at 8:14 p.m.</w:t>
      </w:r>
    </w:p>
    <w:p>
      <w:r>
        <w:br w:type="page"/>
      </w:r>
    </w:p>
    <w:p>
      <w:pPr>
        <w:pStyle w:val="Heading1"/>
      </w:pPr>
      <w:r>
        <w:t>Motion register</w:t>
      </w:r>
    </w:p>
    <w:p>
      <w:pPr>
        <w:widowControl/>
      </w:pPr>
      <w:r>
        <w:t>Timestamps point to the synthetic source recording and are reviewer aids, not part of adopted minutes.</w:t>
      </w:r>
    </w:p>
    <w:tbl>
      <w:tblPr>
        <w:tblW w:type="dxa" w:w="9360"/>
        <w:jc w:val="left"/>
        <w:tblLayout w:type="fixed"/>
        <w:tblLook w:firstColumn="1" w:firstRow="1" w:lastColumn="0" w:lastRow="0" w:noHBand="0" w:noVBand="1" w:val="04A0"/>
        <w:tblInd w:type="dxa" w:w="120"/>
      </w:tblPr>
      <w:tblGrid>
        <w:gridCol w:w="4883"/>
        <w:gridCol w:w="1831"/>
        <w:gridCol w:w="1628"/>
        <w:gridCol w:w="1018"/>
      </w:tblGrid>
      <w:tr>
        <w:trPr>
          <w:cantSplit/>
          <w:tblHeader w:val="true"/>
        </w:trPr>
        <w:tc>
          <w:tcPr>
            <w:tcW w:type="dxa" w:w="4883"/>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Motion</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Moved / seconded</w:t>
            </w:r>
          </w:p>
        </w:tc>
        <w:tc>
          <w:tcPr>
            <w:tcW w:type="dxa" w:w="162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Result</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Audio</w:t>
            </w:r>
          </w:p>
        </w:tc>
      </w:tr>
      <w:tr>
        <w:trPr>
          <w:cantSplit/>
        </w:trPr>
        <w:tc>
          <w:tcPr>
            <w:tcW w:type="dxa" w:w="4883"/>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Approve the June 10, 2026 regular board meeting minutes as distributed</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Michael Torres / Priya Shah</w:t>
            </w:r>
          </w:p>
        </w:tc>
        <w:tc>
          <w:tcPr>
            <w:tcW w:type="dxa" w:w="162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Passed, 5-0</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1:41-2:30</w:t>
            </w:r>
          </w:p>
        </w:tc>
      </w:tr>
      <w:tr>
        <w:trPr>
          <w:cantSplit/>
        </w:trPr>
        <w:tc>
          <w:tcPr>
            <w:tcW w:type="dxa" w:w="4883"/>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Select Greenfield Landscape for 12 months, not to exceed $18,500, subject to a current certificate of insurance and manager document review</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Louise Benton / Priya Shah</w:t>
            </w:r>
          </w:p>
        </w:tc>
        <w:tc>
          <w:tcPr>
            <w:tcW w:type="dxa" w:w="162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Passed, 4-1; Michael Torres opposed</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23:22-24:28</w:t>
            </w:r>
          </w:p>
        </w:tc>
      </w:tr>
      <w:tr>
        <w:trPr>
          <w:cantSplit/>
        </w:trPr>
        <w:tc>
          <w:tcPr>
            <w:tcW w:type="dxa" w:w="4883"/>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Increase the monthly reserve contribution by $10 per unit effective January 1, 2027; deposit it to reserves; review it during the 2028 budget process</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Priya Shah / Michael Torres</w:t>
            </w:r>
          </w:p>
        </w:tc>
        <w:tc>
          <w:tcPr>
            <w:tcW w:type="dxa" w:w="162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Passed, 3-2; Elena Park and Louise Benton opposed</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35:52-36:59</w:t>
            </w:r>
          </w:p>
        </w:tc>
      </w:tr>
      <w:tr>
        <w:trPr>
          <w:cantSplit/>
        </w:trPr>
        <w:tc>
          <w:tcPr>
            <w:tcW w:type="dxa" w:w="4883"/>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Ratify the June 27 emergency gate-motor replacement by Access Gate Services for $4,850</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Michael Torres / Daniel Reed</w:t>
            </w:r>
          </w:p>
        </w:tc>
        <w:tc>
          <w:tcPr>
            <w:tcW w:type="dxa" w:w="162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Passed, 5-0</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42:16-42:56</w:t>
            </w:r>
          </w:p>
        </w:tc>
      </w:tr>
      <w:tr>
        <w:trPr>
          <w:cantSplit/>
        </w:trPr>
        <w:tc>
          <w:tcPr>
            <w:tcW w:type="dxa" w:w="4883"/>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Table the pool-hours request pending a written broker response and a draft two-week trial notice</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Louise Benton / Michael Torres</w:t>
            </w:r>
          </w:p>
        </w:tc>
        <w:tc>
          <w:tcPr>
            <w:tcW w:type="dxa" w:w="162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Passed, 5-0</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49:35-50:17</w:t>
            </w:r>
          </w:p>
        </w:tc>
      </w:tr>
      <w:tr>
        <w:trPr>
          <w:cantSplit/>
        </w:trPr>
        <w:tc>
          <w:tcPr>
            <w:tcW w:type="dxa" w:w="4883"/>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Adjourn the meeting</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Daniel Reed / Priya Shah</w:t>
            </w:r>
          </w:p>
        </w:tc>
        <w:tc>
          <w:tcPr>
            <w:tcW w:type="dxa" w:w="162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Passed, 5-0</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54:40-55:02</w:t>
            </w:r>
          </w:p>
        </w:tc>
      </w:tr>
    </w:tbl>
    <w:p>
      <w:pPr>
        <w:pStyle w:val="Heading2"/>
      </w:pPr>
      <w:r>
        <w:t>Review result</w:t>
      </w:r>
    </w:p>
    <w:p>
      <w:pPr>
        <w:widowControl/>
      </w:pPr>
      <w:r>
        <w:t>After a separate delivery review, all six mover, seconder, vote-result, and named-opposition fields matched the generated ground truth.</w:t>
      </w:r>
    </w:p>
    <w:p>
      <w:r>
        <w:br w:type="page"/>
      </w:r>
    </w:p>
    <w:p>
      <w:pPr>
        <w:pStyle w:val="Heading1"/>
      </w:pPr>
      <w:r>
        <w:t>Action register</w:t>
      </w:r>
    </w:p>
    <w:tbl>
      <w:tblPr>
        <w:tblW w:type="dxa" w:w="9360"/>
        <w:jc w:val="left"/>
        <w:tblLayout w:type="fixed"/>
        <w:tblLook w:firstColumn="1" w:firstRow="1" w:lastColumn="0" w:lastRow="0" w:noHBand="0" w:noVBand="1" w:val="04A0"/>
        <w:tblInd w:type="dxa" w:w="120"/>
      </w:tblPr>
      <w:tblGrid>
        <w:gridCol w:w="1526"/>
        <w:gridCol w:w="4985"/>
        <w:gridCol w:w="1831"/>
        <w:gridCol w:w="1018"/>
      </w:tblGrid>
      <w:tr>
        <w:trPr>
          <w:cantSplit/>
          <w:tblHeader w:val="true"/>
        </w:trPr>
        <w:tc>
          <w:tcPr>
            <w:tcW w:type="dxa" w:w="1526"/>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Owner</w:t>
            </w:r>
          </w:p>
        </w:tc>
        <w:tc>
          <w:tcPr>
            <w:tcW w:type="dxa" w:w="4985"/>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Action</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Due</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Audio</w:t>
            </w:r>
          </w:p>
        </w:tc>
      </w:tr>
      <w:tr>
        <w:trPr>
          <w:cantSplit/>
        </w:trPr>
        <w:tc>
          <w:tcPr>
            <w:tcW w:type="dxa" w:w="1526"/>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Jordan Lee</w:t>
            </w:r>
          </w:p>
        </w:tc>
        <w:tc>
          <w:tcPr>
            <w:tcW w:type="dxa" w:w="4985"/>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Obtain Greenfield's current certificate of insurance, compare the final contract with the reviewed proposal, and circulate the execution copy to the Board.</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July 22, 2026</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24:31-24:51</w:t>
            </w:r>
          </w:p>
        </w:tc>
      </w:tr>
      <w:tr>
        <w:trPr>
          <w:cantSplit/>
        </w:trPr>
        <w:tc>
          <w:tcPr>
            <w:tcW w:type="dxa" w:w="1526"/>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Daniel Reed</w:t>
            </w:r>
          </w:p>
        </w:tc>
        <w:tc>
          <w:tcPr>
            <w:tcW w:type="dxa" w:w="4985"/>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Draft the owner notice with the amount, effective date, reserve purpose, and no guarantee about future special assessments; send the draft to Jordan Lee.</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July 29, 2026</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37:02-37:23</w:t>
            </w:r>
          </w:p>
        </w:tc>
      </w:tr>
      <w:tr>
        <w:trPr>
          <w:cantSplit/>
        </w:trPr>
        <w:tc>
          <w:tcPr>
            <w:tcW w:type="dxa" w:w="1526"/>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Jordan Lee</w:t>
            </w:r>
          </w:p>
        </w:tc>
        <w:tc>
          <w:tcPr>
            <w:tcW w:type="dxa" w:w="4985"/>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Request the broker's written response and prepare a draft two-week pool-hours trial notice for the August packet.</w:t>
            </w:r>
          </w:p>
        </w:tc>
        <w:tc>
          <w:tcPr>
            <w:tcW w:type="dxa" w:w="1831"/>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August 5, 2026 packet deadline</w:t>
            </w:r>
          </w:p>
        </w:tc>
        <w:tc>
          <w:tcPr>
            <w:tcW w:type="dxa" w:w="1018"/>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50:19-50:37</w:t>
            </w:r>
          </w:p>
        </w:tc>
      </w:tr>
    </w:tbl>
    <w:p>
      <w:pPr>
        <w:pStyle w:val="Heading2"/>
      </w:pPr>
      <w:r>
        <w:t>Board review checklist</w:t>
      </w:r>
    </w:p>
    <w:p>
      <w:pPr>
        <w:pStyle w:val="ListBullet"/>
        <w:keepLines/>
      </w:pPr>
      <w:r>
        <w:t>Confirm the association's legal name and the meeting location against official records before circulation.</w:t>
      </w:r>
    </w:p>
    <w:p>
      <w:pPr>
        <w:pStyle w:val="ListBullet"/>
        <w:keepLines/>
      </w:pPr>
      <w:r>
        <w:t>Confirm that the attendee roster, notice, quorum, and approval language meet the association's governing documents and applicable requirements.</w:t>
      </w:r>
    </w:p>
    <w:p>
      <w:pPr>
        <w:pStyle w:val="ListBullet"/>
        <w:keepLines/>
      </w:pPr>
      <w:r>
        <w:t>The source is synthetic high-clarity audio. Results do not establish performance on crosstalk, poor microphones, accents, remote-call artifacts, or real confidential content.</w:t>
      </w:r>
    </w:p>
    <w:p>
      <w:pPr>
        <w:pStyle w:val="ListBullet"/>
      </w:pPr>
      <w:r>
        <w:t>YY provides a draft—not certified or adopted minutes, legal advice, or a compliance review.</w:t>
      </w:r>
    </w:p>
    <w:tbl>
      <w:tblPr>
        <w:tblW w:type="dxa" w:w="9360"/>
        <w:jc w:val="left"/>
        <w:tblLayout w:type="fixed"/>
        <w:tblLook w:firstColumn="1" w:firstRow="1" w:lastColumn="0" w:lastRow="0" w:noHBand="0" w:noVBand="1" w:val="04A0"/>
        <w:tblInd w:type="dxa" w:w="120"/>
      </w:tblPr>
      <w:tblGrid>
        <w:gridCol w:w="1526"/>
        <w:gridCol w:w="7834"/>
      </w:tblGrid>
      <w:tr>
        <w:trPr>
          <w:cantSplit/>
          <w:tblHeader w:val="true"/>
        </w:trPr>
        <w:tc>
          <w:tcPr>
            <w:tcW w:type="dxa" w:w="1526"/>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shd w:fill="F2F4F7"/>
          </w:tcPr>
          <w:p>
            <w:pPr>
              <w:spacing w:after="0" w:line="252" w:lineRule="auto"/>
            </w:pPr>
            <w:r>
              <w:rPr>
                <w:rFonts w:ascii="Calibri" w:hAnsi="Calibri"/>
                <w:b/>
                <w:color w:val="1F4D78"/>
                <w:sz w:val="18"/>
              </w:rPr>
              <w:t>DRAFT STATUS</w:t>
            </w:r>
          </w:p>
        </w:tc>
        <w:tc>
          <w:tcPr>
            <w:tcW w:type="dxa" w:w="7834"/>
            <w:tcMar>
              <w:top w:w="80" w:type="dxa"/>
              <w:bottom w:w="80" w:type="dxa"/>
              <w:start w:w="120" w:type="dxa"/>
              <w:end w:w="120" w:type="dxa"/>
            </w:tcMar>
            <w:vAlign w:val="top"/>
            <w:tcBorders>
              <w:top w:val="single" w:sz="4" w:color="C7D0D8"/>
              <w:left w:val="single" w:sz="4" w:color="C7D0D8"/>
              <w:bottom w:val="single" w:sz="4" w:color="C7D0D8"/>
              <w:right w:val="single" w:sz="4" w:color="C7D0D8"/>
              <w:insideH w:val="single" w:sz="4" w:color="C7D0D8"/>
              <w:insideV w:val="single" w:sz="4" w:color="C7D0D8"/>
            </w:tcBorders>
          </w:tcPr>
          <w:p>
            <w:pPr>
              <w:spacing w:after="0" w:line="252" w:lineRule="auto"/>
            </w:pPr>
            <w:r>
              <w:rPr>
                <w:rFonts w:ascii="Calibri" w:hAnsi="Calibri"/>
                <w:color w:val="24303A"/>
                <w:sz w:val="18"/>
              </w:rPr>
              <w:t>These minutes remain a draft until corrected and approved by the authorized board reviewer.</w:t>
            </w:r>
          </w:p>
        </w:tc>
      </w:tr>
    </w:tbl>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center"/>
    </w:pPr>
    <w:r>
      <w:rPr>
        <w:rFonts w:ascii="Calibri" w:hAnsi="Calibri"/>
        <w:color w:val="56616A"/>
        <w:sz w:val="16"/>
      </w:rPr>
      <w:t>Synthetic demonstration · Draft until corrected and approved by the authorized board reviewer · yycore.ai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2E74B5"/>
      </w:pBdr>
    </w:pPr>
    <w:r>
      <w:rPr>
        <w:rFonts w:ascii="Calibri" w:hAnsi="Calibri"/>
        <w:b/>
        <w:color w:val="1F4D78"/>
        <w:sz w:val="20"/>
      </w:rPr>
      <w:t>YY</w:t>
    </w:r>
    <w:r>
      <w:rPr>
        <w:rFonts w:ascii="Calibri" w:hAnsi="Calibri"/>
        <w:color w:val="56616A"/>
        <w:sz w:val="16"/>
      </w:rPr>
      <w:t xml:space="preserve">   CLIENT DELIVERABLE · SYNTHETIC SAMPLE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2430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contextualSpacing/>
    </w:pPr>
    <w:rPr>
      <w:rFonts w:ascii="Calibri" w:hAnsi="Calibri"/>
      <w:color w:val="24303A"/>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contextualSpacing/>
    </w:pPr>
    <w:rPr>
      <w:rFonts w:ascii="Calibri" w:hAnsi="Calibri"/>
      <w:color w:val="24303A"/>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Synthetic HOA Board Minutes Draft Sample</dc:title>
  <dc:subject>Editable recording-checked association minutes sample</dc:subject>
  <dc:creator>YY</dc:creator>
  <cp:keywords/>
  <dc:description>Synthetic demonstration; contains no customer data.</dc:description>
  <cp:lastModifiedBy>YY</cp:lastModifiedBy>
  <cp:revision>1</cp:revision>
  <dcterms:created xsi:type="dcterms:W3CDTF">2013-12-23T23:15:00Z</dcterms:created>
  <dcterms:modified xsi:type="dcterms:W3CDTF">2013-12-23T23:15:00Z</dcterms:modified>
  <cp:category/>
</cp:coreProperties>
</file>